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1F4ED8"/>
        </w:rPr>
        <w:t>ТЗ блогеру на рекламную интеграцию</w:t>
      </w:r>
    </w:p>
    <w:p>
      <w:r>
        <w:rPr>
          <w:i/>
        </w:rPr>
        <w:t>Шаблон Даниила Пустовалова · dipustovalov.ru · CC BY 4.0</w:t>
      </w:r>
    </w:p>
    <w:p>
      <w:r>
        <w:t>Документ заполняет рекламодатель и отправляет блогеру ДО оплаты. Задача — закрыть на берегу три вещи, из-за которых интеграции срываются чаще всего: что именно считается выполненной работой, кто отвечает за маркировку и что происходит при переносе даты.</w:t>
      </w:r>
    </w:p>
    <w:p>
      <w:pPr>
        <w:pStyle w:val="Heading1"/>
      </w:pPr>
      <w:r>
        <w:t>1. Стороны и продукт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Поле</w:t>
            </w:r>
          </w:p>
        </w:tc>
        <w:tc>
          <w:tcPr>
            <w:tcW w:type="dxa" w:w="4320"/>
          </w:tcPr>
          <w:p>
            <w:r>
              <w:t>Значение</w:t>
            </w:r>
          </w:p>
        </w:tc>
      </w:tr>
      <w:tr>
        <w:tc>
          <w:tcPr>
            <w:tcW w:type="dxa" w:w="4320"/>
          </w:tcPr>
          <w:p>
            <w:r>
              <w:t>Рекламодатель (полное наименование)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ИНН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Контактное лицо и связь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Блогер / канал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Ссылка на площадку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Продукт или услуга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Что продаём в этой интеграции</w:t>
            </w:r>
          </w:p>
        </w:tc>
        <w:tc>
          <w:tcPr>
            <w:tcW w:type="dxa" w:w="4320"/>
          </w:tcPr>
          <w:p>
            <w:r/>
          </w:p>
        </w:tc>
      </w:tr>
    </w:tbl>
    <w:p/>
    <w:p>
      <w:pPr>
        <w:pStyle w:val="Heading1"/>
      </w:pPr>
      <w:r>
        <w:t>2. Задача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Поле</w:t>
            </w:r>
          </w:p>
        </w:tc>
        <w:tc>
          <w:tcPr>
            <w:tcW w:type="dxa" w:w="4320"/>
          </w:tcPr>
          <w:p>
            <w:r>
              <w:t>Значение</w:t>
            </w:r>
          </w:p>
        </w:tc>
      </w:tr>
      <w:tr>
        <w:tc>
          <w:tcPr>
            <w:tcW w:type="dxa" w:w="4320"/>
          </w:tcPr>
          <w:p>
            <w:r>
              <w:t>Формат</w:t>
            </w:r>
          </w:p>
        </w:tc>
        <w:tc>
          <w:tcPr>
            <w:tcW w:type="dxa" w:w="4320"/>
          </w:tcPr>
          <w:p>
            <w:r>
              <w:t>интеграция в ролик / отдельный ролик / пост / серия сторис / прямой эфир</w:t>
            </w:r>
          </w:p>
        </w:tc>
      </w:tr>
      <w:tr>
        <w:tc>
          <w:tcPr>
            <w:tcW w:type="dxa" w:w="4320"/>
          </w:tcPr>
          <w:p>
            <w:r>
              <w:t>Хронометраж или объём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Дата публикации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Время публикации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Сколько висит в ленте / закрепе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Площадка размещения</w:t>
            </w:r>
          </w:p>
        </w:tc>
        <w:tc>
          <w:tcPr>
            <w:tcW w:type="dxa" w:w="4320"/>
          </w:tcPr>
          <w:p>
            <w:r/>
          </w:p>
        </w:tc>
      </w:tr>
    </w:tbl>
    <w:p/>
    <w:p>
      <w:pPr>
        <w:pStyle w:val="Heading1"/>
      </w:pPr>
      <w:r>
        <w:t>3. Что обязательно сказать</w:t>
      </w:r>
    </w:p>
    <w:p>
      <w:r>
        <w:t>Одно ключевое сообщение. Два и больше — аудитория не запомнит ни одного.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Поле</w:t>
            </w:r>
          </w:p>
        </w:tc>
        <w:tc>
          <w:tcPr>
            <w:tcW w:type="dxa" w:w="4320"/>
          </w:tcPr>
          <w:p>
            <w:r>
              <w:t>Значение</w:t>
            </w:r>
          </w:p>
        </w:tc>
      </w:tr>
      <w:tr>
        <w:tc>
          <w:tcPr>
            <w:tcW w:type="dxa" w:w="4320"/>
          </w:tcPr>
          <w:p>
            <w:r>
              <w:t>Ключевое сообщение (одно)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Три факта о продукте, которые нужно назвать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Оффер и промокод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Ссылка с UTM-метками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Призыв к действию дословно</w:t>
            </w:r>
          </w:p>
        </w:tc>
        <w:tc>
          <w:tcPr>
            <w:tcW w:type="dxa" w:w="4320"/>
          </w:tcPr>
          <w:p>
            <w:r/>
          </w:p>
        </w:tc>
      </w:tr>
    </w:tbl>
    <w:p/>
    <w:p>
      <w:pPr>
        <w:pStyle w:val="Heading1"/>
      </w:pPr>
      <w:r>
        <w:t>4. Чего делать нельзя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Поле</w:t>
            </w:r>
          </w:p>
        </w:tc>
        <w:tc>
          <w:tcPr>
            <w:tcW w:type="dxa" w:w="4320"/>
          </w:tcPr>
          <w:p>
            <w:r>
              <w:t>Значение</w:t>
            </w:r>
          </w:p>
        </w:tc>
      </w:tr>
      <w:tr>
        <w:tc>
          <w:tcPr>
            <w:tcW w:type="dxa" w:w="4320"/>
          </w:tcPr>
          <w:p>
            <w:r>
              <w:t>Запрещённые формулировки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Сравнения с конкурентами</w:t>
            </w:r>
          </w:p>
        </w:tc>
        <w:tc>
          <w:tcPr>
            <w:tcW w:type="dxa" w:w="4320"/>
          </w:tcPr>
          <w:p>
            <w:r>
              <w:t>по умолчанию запрещены</w:t>
            </w:r>
          </w:p>
        </w:tc>
      </w:tr>
      <w:tr>
        <w:tc>
          <w:tcPr>
            <w:tcW w:type="dxa" w:w="4320"/>
          </w:tcPr>
          <w:p>
            <w:r>
              <w:t>Обещания результата</w:t>
            </w:r>
          </w:p>
        </w:tc>
        <w:tc>
          <w:tcPr>
            <w:tcW w:type="dxa" w:w="4320"/>
          </w:tcPr>
          <w:p>
            <w:r>
              <w:t>запрещены, если результат не гарантирован договором</w:t>
            </w:r>
          </w:p>
        </w:tc>
      </w:tr>
      <w:tr>
        <w:tc>
          <w:tcPr>
            <w:tcW w:type="dxa" w:w="4320"/>
          </w:tcPr>
          <w:p>
            <w:r>
              <w:t>Соседство с другой рекламой</w:t>
            </w:r>
          </w:p>
        </w:tc>
        <w:tc>
          <w:tcPr>
            <w:tcW w:type="dxa" w:w="4320"/>
          </w:tcPr>
          <w:p>
            <w:r>
              <w:t>укажите, допустимо ли в этом же выпуске</w:t>
            </w:r>
          </w:p>
        </w:tc>
      </w:tr>
      <w:tr>
        <w:tc>
          <w:tcPr>
            <w:tcW w:type="dxa" w:w="4320"/>
          </w:tcPr>
          <w:p>
            <w:r>
              <w:t>Категории, рядом с которыми размещаться нельзя</w:t>
            </w:r>
          </w:p>
        </w:tc>
        <w:tc>
          <w:tcPr>
            <w:tcW w:type="dxa" w:w="4320"/>
          </w:tcPr>
          <w:p>
            <w:r/>
          </w:p>
        </w:tc>
      </w:tr>
    </w:tbl>
    <w:p/>
    <w:p>
      <w:pPr>
        <w:pStyle w:val="Heading1"/>
      </w:pPr>
      <w:r>
        <w:t>5. Маркировка рекламы</w:t>
      </w:r>
    </w:p>
    <w:p>
      <w:r>
        <w:t>Реклама в интернете маркируется по статье 18.1 федерального закона «О рекламе» № 38-ФЗ: нужна пометка «реклама» и указание на рекламодателя и (или) сайт с информацией о нём, а также идентификатор erid.</w:t>
      </w:r>
    </w:p>
    <w:p>
      <w:r>
        <w:t>Важно: erid присваивает оператор рекламных данных, самостоятельно сгенерировать его нельзя (пункт 3 приказа Роскомнадзора № 191 от 30.11.2022). Значит в ТЗ должно быть явно записано, кто регистрирует креатив и когда передаёт идентификатор.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Поле</w:t>
            </w:r>
          </w:p>
        </w:tc>
        <w:tc>
          <w:tcPr>
            <w:tcW w:type="dxa" w:w="4320"/>
          </w:tcPr>
          <w:p>
            <w:r>
              <w:t>Значение</w:t>
            </w:r>
          </w:p>
        </w:tc>
      </w:tr>
      <w:tr>
        <w:tc>
          <w:tcPr>
            <w:tcW w:type="dxa" w:w="4320"/>
          </w:tcPr>
          <w:p>
            <w:r>
              <w:t>Кто регистрирует креатив в ОРД</w:t>
            </w:r>
          </w:p>
        </w:tc>
        <w:tc>
          <w:tcPr>
            <w:tcW w:type="dxa" w:w="4320"/>
          </w:tcPr>
          <w:p>
            <w:r>
              <w:t>рекламодатель / агентство / блогер</w:t>
            </w:r>
          </w:p>
        </w:tc>
      </w:tr>
      <w:tr>
        <w:tc>
          <w:tcPr>
            <w:tcW w:type="dxa" w:w="4320"/>
          </w:tcPr>
          <w:p>
            <w:r>
              <w:t>Через какого оператора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Когда передаётся erid</w:t>
            </w:r>
          </w:p>
        </w:tc>
        <w:tc>
          <w:tcPr>
            <w:tcW w:type="dxa" w:w="4320"/>
          </w:tcPr>
          <w:p>
            <w:r>
              <w:t>до публикации / после, если это авторское произведение</w:t>
            </w:r>
          </w:p>
        </w:tc>
      </w:tr>
      <w:tr>
        <w:tc>
          <w:tcPr>
            <w:tcW w:type="dxa" w:w="4320"/>
          </w:tcPr>
          <w:p>
            <w:r>
              <w:t>Где размещается пометка</w:t>
            </w:r>
          </w:p>
        </w:tc>
        <w:tc>
          <w:tcPr>
            <w:tcW w:type="dxa" w:w="4320"/>
          </w:tcPr>
          <w:p>
            <w:r>
              <w:t>в кликовой ссылке / в тексте / поверх изображения / поверх видео</w:t>
            </w:r>
          </w:p>
        </w:tc>
      </w:tr>
      <w:tr>
        <w:tc>
          <w:tcPr>
            <w:tcW w:type="dxa" w:w="4320"/>
          </w:tcPr>
          <w:p>
            <w:r>
              <w:t>Кто подаёт данные о размещении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Кто передаёт акт и статистику</w:t>
            </w:r>
          </w:p>
        </w:tc>
        <w:tc>
          <w:tcPr>
            <w:tcW w:type="dxa" w:w="4320"/>
          </w:tcPr>
          <w:p>
            <w:r/>
          </w:p>
        </w:tc>
      </w:tr>
    </w:tbl>
    <w:p>
      <w:pPr>
        <w:pStyle w:val="IntenseQuote"/>
      </w:pPr>
      <w:r>
        <w:t>Формулировки требований сверяйте с действующей редакцией закона: нормы менялись в 2025 году, и я не юрист.</w:t>
      </w:r>
    </w:p>
    <w:p>
      <w:pPr>
        <w:pStyle w:val="Heading1"/>
      </w:pPr>
      <w:r>
        <w:t>6. Согласование и сдача</w:t>
      </w:r>
    </w:p>
    <w:p>
      <w:r>
        <w:t>Поля с пометкой [УТОЧНИТЬ] заполняются вашими правилами. Пустые они остаться не должны: именно из-за них интеграции и срываются.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Поле</w:t>
            </w:r>
          </w:p>
        </w:tc>
        <w:tc>
          <w:tcPr>
            <w:tcW w:type="dxa" w:w="4320"/>
          </w:tcPr>
          <w:p>
            <w:r>
              <w:t>Значение</w:t>
            </w:r>
          </w:p>
        </w:tc>
      </w:tr>
      <w:tr>
        <w:tc>
          <w:tcPr>
            <w:tcW w:type="dxa" w:w="4320"/>
          </w:tcPr>
          <w:p>
            <w:r>
              <w:t>Что присылает блогер на согласование</w:t>
            </w:r>
          </w:p>
        </w:tc>
        <w:tc>
          <w:tcPr>
            <w:tcW w:type="dxa" w:w="4320"/>
          </w:tcPr>
          <w:p>
            <w:r>
              <w:t>сценарий / черновик / финальный монтаж</w:t>
            </w:r>
          </w:p>
        </w:tc>
      </w:tr>
      <w:tr>
        <w:tc>
          <w:tcPr>
            <w:tcW w:type="dxa" w:w="4320"/>
          </w:tcPr>
          <w:p>
            <w:r>
              <w:t>Срок на согласование сценария</w:t>
            </w:r>
          </w:p>
        </w:tc>
        <w:tc>
          <w:tcPr>
            <w:tcW w:type="dxa" w:w="4320"/>
          </w:tcPr>
          <w:p>
            <w:r>
              <w:t>[УТОЧНИТЬ: сколько дней даёте на ответ]</w:t>
            </w:r>
          </w:p>
        </w:tc>
      </w:tr>
      <w:tr>
        <w:tc>
          <w:tcPr>
            <w:tcW w:type="dxa" w:w="4320"/>
          </w:tcPr>
          <w:p>
            <w:r>
              <w:t>Количество бесплатных правок</w:t>
            </w:r>
          </w:p>
        </w:tc>
        <w:tc>
          <w:tcPr>
            <w:tcW w:type="dxa" w:w="4320"/>
          </w:tcPr>
          <w:p>
            <w:r>
              <w:t>[УТОЧНИТЬ: сколько кругов правок входит в стоимость]</w:t>
            </w:r>
          </w:p>
        </w:tc>
      </w:tr>
      <w:tr>
        <w:tc>
          <w:tcPr>
            <w:tcW w:type="dxa" w:w="4320"/>
          </w:tcPr>
          <w:p>
            <w:r>
              <w:t>Срок на внесение правок блогером</w:t>
            </w:r>
          </w:p>
        </w:tc>
        <w:tc>
          <w:tcPr>
            <w:tcW w:type="dxa" w:w="4320"/>
          </w:tcPr>
          <w:p>
            <w:r>
              <w:t>[УТОЧНИТЬ]</w:t>
            </w:r>
          </w:p>
        </w:tc>
      </w:tr>
      <w:tr>
        <w:tc>
          <w:tcPr>
            <w:tcW w:type="dxa" w:w="4320"/>
          </w:tcPr>
          <w:p>
            <w:r>
              <w:t>Что считается сдачей работы</w:t>
            </w:r>
          </w:p>
        </w:tc>
        <w:tc>
          <w:tcPr>
            <w:tcW w:type="dxa" w:w="4320"/>
          </w:tcPr>
          <w:p>
            <w:r>
              <w:t>[УТОЧНИТЬ: публикация / публикация + скриншот статистики / публикация + акт]</w:t>
            </w:r>
          </w:p>
        </w:tc>
      </w:tr>
      <w:tr>
        <w:tc>
          <w:tcPr>
            <w:tcW w:type="dxa" w:w="4320"/>
          </w:tcPr>
          <w:p>
            <w:r>
              <w:t>Когда снимается статистика</w:t>
            </w:r>
          </w:p>
        </w:tc>
        <w:tc>
          <w:tcPr>
            <w:tcW w:type="dxa" w:w="4320"/>
          </w:tcPr>
          <w:p>
            <w:r>
              <w:t>[УТОЧНИТЬ: через сколько часов и суток после публикации]</w:t>
            </w:r>
          </w:p>
        </w:tc>
      </w:tr>
      <w:tr>
        <w:tc>
          <w:tcPr>
            <w:tcW w:type="dxa" w:w="4320"/>
          </w:tcPr>
          <w:p>
            <w:r>
              <w:t>Что делать при переносе даты</w:t>
            </w:r>
          </w:p>
        </w:tc>
        <w:tc>
          <w:tcPr>
            <w:tcW w:type="dxa" w:w="4320"/>
          </w:tcPr>
          <w:p>
            <w:r>
              <w:t>[УТОЧНИТЬ: ваше правило]</w:t>
            </w:r>
          </w:p>
        </w:tc>
      </w:tr>
      <w:tr>
        <w:tc>
          <w:tcPr>
            <w:tcW w:type="dxa" w:w="4320"/>
          </w:tcPr>
          <w:p>
            <w:r>
              <w:t>Что делать при срыве публикации</w:t>
            </w:r>
          </w:p>
        </w:tc>
        <w:tc>
          <w:tcPr>
            <w:tcW w:type="dxa" w:w="4320"/>
          </w:tcPr>
          <w:p>
            <w:r>
              <w:t>[УТОЧНИТЬ: ваше правило]</w:t>
            </w:r>
          </w:p>
        </w:tc>
      </w:tr>
    </w:tbl>
    <w:p/>
    <w:p>
      <w:pPr>
        <w:pStyle w:val="Heading1"/>
      </w:pPr>
      <w:r>
        <w:t>7. Деньги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Поле</w:t>
            </w:r>
          </w:p>
        </w:tc>
        <w:tc>
          <w:tcPr>
            <w:tcW w:type="dxa" w:w="4320"/>
          </w:tcPr>
          <w:p>
            <w:r>
              <w:t>Значение</w:t>
            </w:r>
          </w:p>
        </w:tc>
      </w:tr>
      <w:tr>
        <w:tc>
          <w:tcPr>
            <w:tcW w:type="dxa" w:w="4320"/>
          </w:tcPr>
          <w:p>
            <w:r>
              <w:t>Стоимость размещения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Порядок оплаты</w:t>
            </w:r>
          </w:p>
        </w:tc>
        <w:tc>
          <w:tcPr>
            <w:tcW w:type="dxa" w:w="4320"/>
          </w:tcPr>
          <w:p>
            <w:r>
              <w:t>предоплата / постоплата / частями</w:t>
            </w:r>
          </w:p>
        </w:tc>
      </w:tr>
      <w:tr>
        <w:tc>
          <w:tcPr>
            <w:tcW w:type="dxa" w:w="4320"/>
          </w:tcPr>
          <w:p>
            <w:r>
              <w:t>Документы</w:t>
            </w:r>
          </w:p>
        </w:tc>
        <w:tc>
          <w:tcPr>
            <w:tcW w:type="dxa" w:w="4320"/>
          </w:tcPr>
          <w:p>
            <w:r>
              <w:t>договор / счёт / акт / чек самозанятого</w:t>
            </w:r>
          </w:p>
        </w:tc>
      </w:tr>
      <w:tr>
        <w:tc>
          <w:tcPr>
            <w:tcW w:type="dxa" w:w="4320"/>
          </w:tcPr>
          <w:p>
            <w:r>
              <w:t>Что происходит при недоборе охвата</w:t>
            </w:r>
          </w:p>
        </w:tc>
        <w:tc>
          <w:tcPr>
            <w:tcW w:type="dxa" w:w="4320"/>
          </w:tcPr>
          <w:p>
            <w:r>
              <w:t>[УТОЧНИТЬ: ваше правило]</w:t>
            </w:r>
          </w:p>
        </w:tc>
      </w:tr>
    </w:tbl>
    <w:p/>
    <w:p>
      <w:pPr>
        <w:pStyle w:val="Heading1"/>
      </w:pPr>
      <w:r>
        <w:t>8. Как считаем результат</w:t>
      </w:r>
    </w:p>
    <w:p>
      <w:r>
        <w:t>Договоритесь о метрике заранее. Спор «сколько на самом деле было охвата» после публикации не решается никогда.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Поле</w:t>
            </w:r>
          </w:p>
        </w:tc>
        <w:tc>
          <w:tcPr>
            <w:tcW w:type="dxa" w:w="4320"/>
          </w:tcPr>
          <w:p>
            <w:r>
              <w:t>Значение</w:t>
            </w:r>
          </w:p>
        </w:tc>
      </w:tr>
      <w:tr>
        <w:tc>
          <w:tcPr>
            <w:tcW w:type="dxa" w:w="4320"/>
          </w:tcPr>
          <w:p>
            <w:r>
              <w:t>Целевой показатель</w:t>
            </w:r>
          </w:p>
        </w:tc>
        <w:tc>
          <w:tcPr>
            <w:tcW w:type="dxa" w:w="4320"/>
          </w:tcPr>
          <w:p>
            <w:r>
              <w:t>охват / переходы / промокоды / подписки</w:t>
            </w:r>
          </w:p>
        </w:tc>
      </w:tr>
      <w:tr>
        <w:tc>
          <w:tcPr>
            <w:tcW w:type="dxa" w:w="4320"/>
          </w:tcPr>
          <w:p>
            <w:r>
              <w:t>Где смотрим переходы</w:t>
            </w:r>
          </w:p>
        </w:tc>
        <w:tc>
          <w:tcPr>
            <w:tcW w:type="dxa" w:w="4320"/>
          </w:tcPr>
          <w:p>
            <w:r>
              <w:t>UTM-метки в аналитике рекламодателя</w:t>
            </w:r>
          </w:p>
        </w:tc>
      </w:tr>
      <w:tr>
        <w:tc>
          <w:tcPr>
            <w:tcW w:type="dxa" w:w="4320"/>
          </w:tcPr>
          <w:p>
            <w:r>
              <w:t>Промокод для этой интеграции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Когда сверяем итог</w:t>
            </w:r>
          </w:p>
        </w:tc>
        <w:tc>
          <w:tcPr>
            <w:tcW w:type="dxa" w:w="4320"/>
          </w:tcPr>
          <w:p>
            <w:r/>
          </w:p>
        </w:tc>
      </w:tr>
    </w:tbl>
    <w:p/>
    <w:p>
      <w:pPr>
        <w:pStyle w:val="Heading1"/>
      </w:pPr>
      <w:r>
        <w:t>Приложение: чек-лист перед оплатой</w:t>
      </w:r>
    </w:p>
    <w:p>
      <w:pPr>
        <w:pStyle w:val="ListBullet"/>
      </w:pPr>
      <w:r>
        <w:t>Сценарий согласован письменно, а не голосом в созвоне</w:t>
      </w:r>
    </w:p>
    <w:p>
      <w:pPr>
        <w:pStyle w:val="ListBullet"/>
      </w:pPr>
      <w:r>
        <w:t>Дата и время публикации зафиксированы</w:t>
      </w:r>
    </w:p>
    <w:p>
      <w:pPr>
        <w:pStyle w:val="ListBullet"/>
      </w:pPr>
      <w:r>
        <w:t>Определено, кто регистрирует креатив в ОРД и когда передаёт erid</w:t>
      </w:r>
    </w:p>
    <w:p>
      <w:pPr>
        <w:pStyle w:val="ListBullet"/>
      </w:pPr>
      <w:r>
        <w:t>Ссылка с UTM-метками передана блогеру и проверена</w:t>
      </w:r>
    </w:p>
    <w:p>
      <w:pPr>
        <w:pStyle w:val="ListBullet"/>
      </w:pPr>
      <w:r>
        <w:t>Промокод создан и работает</w:t>
      </w:r>
    </w:p>
    <w:p>
      <w:pPr>
        <w:pStyle w:val="ListBullet"/>
      </w:pPr>
      <w:r>
        <w:t>Записано, что считается сдачей работы</w:t>
      </w:r>
    </w:p>
    <w:p>
      <w:pPr>
        <w:pStyle w:val="ListBullet"/>
      </w:pPr>
      <w:r>
        <w:t>Записано, что происходит при переносе и при срыве</w:t>
      </w:r>
    </w:p>
    <w:p>
      <w:pPr>
        <w:pStyle w:val="ListBullet"/>
      </w:pPr>
      <w:r>
        <w:t>Закрывающие документы обсуждены до оплаты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